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47E1B41">
      <w:pPr>
        <w:pStyle w:val="style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525C9211">
      <w:pPr>
        <w:pStyle w:val="style0"/>
        <w:widowControl/>
        <w:jc w:val="center"/>
        <w:rPr>
          <w:rFonts w:ascii="方正小标宋简体" w:cs="Calibri" w:eastAsia="方正小标宋简体" w:hAnsi="华文中宋" w:hint="eastAsia"/>
          <w:bCs/>
          <w:color w:val="000000"/>
          <w:kern w:val="0"/>
          <w:sz w:val="44"/>
          <w:szCs w:val="44"/>
        </w:rPr>
      </w:pPr>
      <w:r>
        <w:rPr>
          <w:rFonts w:ascii="方正小标宋简体" w:cs="Calibri" w:eastAsia="方正小标宋简体" w:hAnsi="华文中宋"/>
          <w:bCs/>
          <w:color w:val="000000"/>
          <w:kern w:val="0"/>
          <w:sz w:val="44"/>
          <w:szCs w:val="44"/>
        </w:rPr>
        <w:t>202</w:t>
      </w:r>
      <w:r>
        <w:rPr>
          <w:rFonts w:ascii="方正小标宋简体" w:cs="Calibri" w:eastAsia="方正小标宋简体" w:hAnsi="华文中宋" w:hint="eastAsia"/>
          <w:bCs/>
          <w:color w:val="000000"/>
          <w:kern w:val="0"/>
          <w:sz w:val="44"/>
          <w:szCs w:val="44"/>
        </w:rPr>
        <w:t>6-2027</w:t>
      </w:r>
      <w:r>
        <w:rPr>
          <w:rFonts w:ascii="方正小标宋简体" w:cs="Calibri" w:eastAsia="方正小标宋简体" w:hAnsi="华文中宋"/>
          <w:bCs/>
          <w:color w:val="000000"/>
          <w:kern w:val="0"/>
          <w:sz w:val="44"/>
          <w:szCs w:val="44"/>
        </w:rPr>
        <w:t>年度</w:t>
      </w:r>
      <w:r>
        <w:rPr>
          <w:rFonts w:ascii="方正小标宋简体" w:cs="Calibri" w:eastAsia="方正小标宋简体" w:hAnsi="华文中宋"/>
          <w:bCs/>
          <w:color w:val="000000"/>
          <w:kern w:val="0"/>
          <w:sz w:val="44"/>
          <w:szCs w:val="44"/>
        </w:rPr>
        <w:t>“</w:t>
      </w:r>
      <w:r>
        <w:rPr>
          <w:rFonts w:ascii="方正小标宋简体" w:cs="Calibri" w:eastAsia="方正小标宋简体" w:hAnsi="华文中宋"/>
          <w:bCs/>
          <w:color w:val="000000"/>
          <w:kern w:val="0"/>
          <w:sz w:val="44"/>
          <w:szCs w:val="44"/>
        </w:rPr>
        <w:t>发展研究奖学金</w:t>
      </w:r>
      <w:r>
        <w:rPr>
          <w:rFonts w:ascii="方正小标宋简体" w:cs="Calibri" w:eastAsia="方正小标宋简体" w:hAnsi="华文中宋"/>
          <w:bCs/>
          <w:color w:val="000000"/>
          <w:kern w:val="0"/>
          <w:sz w:val="44"/>
          <w:szCs w:val="44"/>
        </w:rPr>
        <w:t>”</w:t>
      </w:r>
      <w:r>
        <w:rPr>
          <w:rFonts w:ascii="方正小标宋简体" w:cs="Calibri" w:eastAsia="方正小标宋简体" w:hAnsi="华文中宋"/>
          <w:bCs/>
          <w:color w:val="000000"/>
          <w:kern w:val="0"/>
          <w:sz w:val="44"/>
          <w:szCs w:val="44"/>
        </w:rPr>
        <w:t>项目</w:t>
      </w:r>
    </w:p>
    <w:p w14:paraId="7CEE05AC">
      <w:pPr>
        <w:pStyle w:val="style0"/>
        <w:jc w:val="center"/>
        <w:rPr>
          <w:rFonts w:ascii="方正小标宋简体" w:eastAsia="方正小标宋简体" w:hAnsi="黑体" w:hint="eastAsia"/>
          <w:sz w:val="32"/>
          <w:szCs w:val="32"/>
        </w:rPr>
      </w:pPr>
      <w:r>
        <w:rPr>
          <w:rFonts w:ascii="方正小标宋简体" w:cs="Calibri" w:eastAsia="方正小标宋简体" w:hAnsi="华文中宋" w:hint="eastAsia"/>
          <w:bCs/>
          <w:color w:val="000000"/>
          <w:kern w:val="0"/>
          <w:sz w:val="44"/>
          <w:szCs w:val="44"/>
        </w:rPr>
        <w:t>岗位信息表</w:t>
      </w:r>
    </w:p>
    <w:tbl>
      <w:tblPr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551"/>
        <w:gridCol w:w="5103"/>
      </w:tblGrid>
      <w:tr w14:paraId="24198B58">
        <w:trPr>
          <w:trHeight w:val="310" w:hRule="atLeast"/>
        </w:trPr>
        <w:tc>
          <w:tcPr>
            <w:tcW w:w="993" w:type="dxa"/>
            <w:tcBorders/>
            <w:noWrap/>
            <w:vAlign w:val="center"/>
          </w:tcPr>
          <w:p w14:paraId="33DBD64A">
            <w:pPr>
              <w:pStyle w:val="style0"/>
              <w:widowControl/>
              <w:jc w:val="center"/>
              <w:rPr>
                <w:rFonts w:ascii="楷体" w:cs="Calibri" w:eastAsia="楷体" w:hAnsi="楷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楷体" w:cs="Calibri" w:eastAsia="楷体" w:hAnsi="楷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2551" w:type="dxa"/>
            <w:tcBorders/>
            <w:noWrap/>
            <w:vAlign w:val="center"/>
          </w:tcPr>
          <w:p w14:paraId="13B8A4FC">
            <w:pPr>
              <w:pStyle w:val="style0"/>
              <w:widowControl/>
              <w:jc w:val="center"/>
              <w:rPr>
                <w:rFonts w:ascii="楷体" w:cs="Calibri" w:eastAsia="楷体" w:hAnsi="楷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楷体" w:cs="Calibri" w:eastAsia="楷体" w:hAnsi="楷体" w:hint="eastAsia"/>
                <w:color w:val="000000"/>
                <w:kern w:val="0"/>
                <w:sz w:val="32"/>
                <w:szCs w:val="32"/>
              </w:rPr>
              <w:t>部所</w:t>
            </w:r>
          </w:p>
        </w:tc>
        <w:tc>
          <w:tcPr>
            <w:tcW w:w="5103" w:type="dxa"/>
            <w:tcBorders/>
            <w:vAlign w:val="center"/>
          </w:tcPr>
          <w:p w14:paraId="2D9E11B1">
            <w:pPr>
              <w:pStyle w:val="style0"/>
              <w:widowControl/>
              <w:jc w:val="center"/>
              <w:rPr>
                <w:rFonts w:ascii="楷体" w:cs="Calibri" w:eastAsia="楷体" w:hAnsi="楷体" w:hint="eastAsia"/>
                <w:kern w:val="0"/>
                <w:sz w:val="32"/>
                <w:szCs w:val="32"/>
              </w:rPr>
            </w:pPr>
            <w:r>
              <w:rPr>
                <w:rFonts w:ascii="楷体" w:cs="Calibri" w:eastAsia="楷体" w:hAnsi="楷体" w:hint="eastAsia"/>
                <w:kern w:val="0"/>
                <w:sz w:val="32"/>
                <w:szCs w:val="32"/>
              </w:rPr>
              <w:t>说明</w:t>
            </w:r>
          </w:p>
        </w:tc>
      </w:tr>
      <w:tr w14:paraId="5865EB3C">
        <w:tblPrEx/>
        <w:trPr>
          <w:trHeight w:val="699" w:hRule="atLeast"/>
        </w:trPr>
        <w:tc>
          <w:tcPr>
            <w:tcW w:w="993" w:type="dxa"/>
            <w:tcBorders/>
            <w:noWrap/>
            <w:vAlign w:val="center"/>
          </w:tcPr>
          <w:p w14:paraId="030372DC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551" w:type="dxa"/>
            <w:tcBorders/>
            <w:noWrap/>
            <w:vAlign w:val="center"/>
          </w:tcPr>
          <w:p w14:paraId="365A04C4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宏观经济研究部</w:t>
            </w:r>
          </w:p>
        </w:tc>
        <w:tc>
          <w:tcPr>
            <w:tcW w:w="5103" w:type="dxa"/>
            <w:tcBorders/>
            <w:vAlign w:val="center"/>
          </w:tcPr>
          <w:p w14:paraId="7A6A01B8">
            <w:pPr>
              <w:pStyle w:val="style0"/>
              <w:widowControl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方向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：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国际宏观、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宏观经济、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经济增长、发展经济学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、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财政、货币</w:t>
            </w:r>
          </w:p>
          <w:p w14:paraId="597E7E33">
            <w:pPr>
              <w:pStyle w:val="style179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博士研究生；</w:t>
            </w:r>
          </w:p>
          <w:p w14:paraId="41EE4DE7">
            <w:pPr>
              <w:pStyle w:val="style179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经济学相关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专业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；</w:t>
            </w:r>
          </w:p>
          <w:p w14:paraId="54EE629A">
            <w:pPr>
              <w:pStyle w:val="style179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对政策研究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与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宏观经济研究感兴趣；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数据分析能力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及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英语水平优秀者优先</w:t>
            </w:r>
            <w:r>
              <w:rPr>
                <w:rFonts w:ascii="仿宋" w:cs="Calibri" w:eastAsia="仿宋" w:hAnsi="仿宋" w:hint="default"/>
                <w:color w:val="000000"/>
                <w:kern w:val="0"/>
                <w:sz w:val="32"/>
                <w:szCs w:val="32"/>
                <w:lang w:val="en-US"/>
              </w:rPr>
              <w:t>；</w:t>
            </w:r>
          </w:p>
          <w:p w14:paraId="36759871">
            <w:pPr>
              <w:pStyle w:val="style179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协助完成宏观经济形势观测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、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国别对比研究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等工作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。</w:t>
            </w:r>
          </w:p>
        </w:tc>
      </w:tr>
      <w:tr w14:paraId="4BF0F8D5">
        <w:tblPrEx/>
        <w:trPr>
          <w:trHeight w:val="1678" w:hRule="atLeast"/>
        </w:trPr>
        <w:tc>
          <w:tcPr>
            <w:tcW w:w="993" w:type="dxa"/>
            <w:tcBorders/>
            <w:noWrap/>
            <w:vAlign w:val="center"/>
          </w:tcPr>
          <w:p w14:paraId="6DCE1708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551" w:type="dxa"/>
            <w:tcBorders/>
            <w:noWrap/>
            <w:vAlign w:val="center"/>
          </w:tcPr>
          <w:p w14:paraId="165689D7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发展战略和区域经济研究部</w:t>
            </w:r>
          </w:p>
        </w:tc>
        <w:tc>
          <w:tcPr>
            <w:tcW w:w="5103" w:type="dxa"/>
            <w:tcBorders/>
            <w:vAlign w:val="center"/>
          </w:tcPr>
          <w:p w14:paraId="78F14CDA">
            <w:pPr>
              <w:pStyle w:val="style179"/>
              <w:ind w:firstLine="0" w:firstLineChars="0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方向：经济发展问题</w:t>
            </w:r>
          </w:p>
          <w:p w14:paraId="5C1E4779">
            <w:pPr>
              <w:pStyle w:val="style179"/>
              <w:numPr>
                <w:ilvl w:val="0"/>
                <w:numId w:val="18"/>
              </w:numPr>
              <w:ind w:firstLineChars="0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硕士或博士研究生；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 xml:space="preserve"> </w:t>
            </w:r>
          </w:p>
          <w:p w14:paraId="0CA4AD49">
            <w:pPr>
              <w:pStyle w:val="style179"/>
              <w:numPr>
                <w:ilvl w:val="0"/>
                <w:numId w:val="18"/>
              </w:numPr>
              <w:ind w:firstLineChars="0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经济学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或其他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专业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；</w:t>
            </w:r>
          </w:p>
          <w:p w14:paraId="58E1C1C1">
            <w:pPr>
              <w:pStyle w:val="style179"/>
              <w:numPr>
                <w:ilvl w:val="0"/>
                <w:numId w:val="18"/>
              </w:numPr>
              <w:ind w:firstLineChars="0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熟悉经济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增长理论，能够根据研究要求完成相关背景文献的梳理，进行数据处理；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英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语基础较好；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熟练运用Excel、Stata、R、Matlab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等数据分析工具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。</w:t>
            </w:r>
          </w:p>
        </w:tc>
      </w:tr>
      <w:tr w14:paraId="462AE116">
        <w:tblPrEx/>
        <w:trPr>
          <w:trHeight w:val="1200" w:hRule="atLeast"/>
        </w:trPr>
        <w:tc>
          <w:tcPr>
            <w:tcW w:w="993" w:type="dxa"/>
            <w:tcBorders/>
            <w:noWrap/>
            <w:vAlign w:val="center"/>
          </w:tcPr>
          <w:p w14:paraId="735FFD58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551" w:type="dxa"/>
            <w:tcBorders/>
            <w:noWrap/>
            <w:vAlign w:val="center"/>
          </w:tcPr>
          <w:p w14:paraId="44871F64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农村经济研究部</w:t>
            </w:r>
          </w:p>
        </w:tc>
        <w:tc>
          <w:tcPr>
            <w:tcW w:w="5103" w:type="dxa"/>
            <w:tcBorders/>
            <w:vAlign w:val="center"/>
          </w:tcPr>
          <w:p w14:paraId="78EB9DD4">
            <w:pPr>
              <w:pStyle w:val="style0"/>
              <w:widowControl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方向：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农业农村发展</w:t>
            </w:r>
          </w:p>
          <w:p w14:paraId="3E21AF32">
            <w:pPr>
              <w:pStyle w:val="style179"/>
              <w:widowControl/>
              <w:numPr>
                <w:ilvl w:val="0"/>
                <w:numId w:val="22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硕士或博士研究生；</w:t>
            </w:r>
          </w:p>
          <w:p w14:paraId="4D41C5F7">
            <w:pPr>
              <w:pStyle w:val="style179"/>
              <w:widowControl/>
              <w:numPr>
                <w:ilvl w:val="0"/>
                <w:numId w:val="22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宏观经济、农业经济、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计量经济学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等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相关专业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；</w:t>
            </w:r>
          </w:p>
          <w:p w14:paraId="0ECC1413">
            <w:pPr>
              <w:pStyle w:val="style179"/>
              <w:widowControl/>
              <w:numPr>
                <w:ilvl w:val="0"/>
                <w:numId w:val="22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协助相关研究的资料收集、数据分析、调研组织等工作。</w:t>
            </w:r>
          </w:p>
        </w:tc>
      </w:tr>
      <w:tr w14:paraId="3DDB1040">
        <w:tblPrEx/>
        <w:trPr>
          <w:trHeight w:val="557" w:hRule="atLeast"/>
        </w:trPr>
        <w:tc>
          <w:tcPr>
            <w:tcW w:w="993" w:type="dxa"/>
            <w:tcBorders/>
            <w:noWrap/>
            <w:vAlign w:val="center"/>
          </w:tcPr>
          <w:p w14:paraId="7609EE11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2551" w:type="dxa"/>
            <w:tcBorders/>
            <w:noWrap/>
            <w:vAlign w:val="center"/>
          </w:tcPr>
          <w:p w14:paraId="75FF03A6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产业经济研究部</w:t>
            </w:r>
          </w:p>
        </w:tc>
        <w:tc>
          <w:tcPr>
            <w:tcW w:w="5103" w:type="dxa"/>
            <w:tcBorders/>
            <w:vAlign w:val="center"/>
          </w:tcPr>
          <w:p w14:paraId="1A01DF55">
            <w:pPr>
              <w:pStyle w:val="style0"/>
              <w:widowControl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方向：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产业经济与政策</w:t>
            </w:r>
          </w:p>
          <w:p w14:paraId="77013864">
            <w:pPr>
              <w:pStyle w:val="style179"/>
              <w:widowControl/>
              <w:numPr>
                <w:ilvl w:val="0"/>
                <w:numId w:val="24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博士研究生（二年级或三年级）；</w:t>
            </w:r>
          </w:p>
          <w:p w14:paraId="533BF2B6">
            <w:pPr>
              <w:pStyle w:val="style179"/>
              <w:widowControl/>
              <w:numPr>
                <w:ilvl w:val="0"/>
                <w:numId w:val="24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经济学相关专业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。</w:t>
            </w:r>
          </w:p>
        </w:tc>
      </w:tr>
      <w:tr w14:paraId="1F0FADB8">
        <w:tblPrEx/>
        <w:trPr>
          <w:trHeight w:val="2117" w:hRule="atLeast"/>
        </w:trPr>
        <w:tc>
          <w:tcPr>
            <w:tcW w:w="993" w:type="dxa"/>
            <w:tcBorders/>
            <w:noWrap/>
            <w:vAlign w:val="center"/>
          </w:tcPr>
          <w:p w14:paraId="180B42D1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2551" w:type="dxa"/>
            <w:tcBorders/>
            <w:noWrap/>
            <w:vAlign w:val="center"/>
          </w:tcPr>
          <w:p w14:paraId="030EFE0F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创新发展研究部</w:t>
            </w:r>
          </w:p>
        </w:tc>
        <w:tc>
          <w:tcPr>
            <w:tcW w:w="5103" w:type="dxa"/>
            <w:tcBorders/>
            <w:vAlign w:val="center"/>
          </w:tcPr>
          <w:p w14:paraId="3CA7DF14">
            <w:pPr>
              <w:pStyle w:val="style0"/>
              <w:widowControl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1.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博士研究生（二年级或三年级），或优秀硕士研究生（二年级）；</w:t>
            </w:r>
          </w:p>
          <w:p w14:paraId="65B8004D">
            <w:pPr>
              <w:pStyle w:val="style0"/>
              <w:widowControl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2.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经济学、科技创新、管理学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、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人工智能、计算机科学与技术、软件工程、网络安全、能源与动力工程、新型能源体系、电力市场、能源经济学、低碳技术、生命科学、神经科学、认知科学等专业或方向；</w:t>
            </w:r>
          </w:p>
          <w:p w14:paraId="7135266A">
            <w:pPr>
              <w:pStyle w:val="style0"/>
              <w:widowControl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4.</w:t>
            </w:r>
            <w:r>
              <w:rPr>
                <w:rFonts w:hint="eastAsia"/>
              </w:rPr>
              <w:t xml:space="preserve"> 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具有较强的数据搜索、处理和统计分析技能，掌握大数据分析、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文献计量或文本分析等量化方法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；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能熟练进行英文文献检索和阅读；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文字写作能力好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者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优先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。</w:t>
            </w:r>
          </w:p>
        </w:tc>
      </w:tr>
      <w:tr w14:paraId="52E033DC">
        <w:tblPrEx/>
        <w:trPr>
          <w:trHeight w:val="1975" w:hRule="atLeast"/>
        </w:trPr>
        <w:tc>
          <w:tcPr>
            <w:tcW w:w="993" w:type="dxa"/>
            <w:tcBorders/>
            <w:noWrap/>
            <w:vAlign w:val="center"/>
          </w:tcPr>
          <w:p w14:paraId="1627CB6F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2551" w:type="dxa"/>
            <w:tcBorders/>
            <w:noWrap/>
            <w:vAlign w:val="center"/>
          </w:tcPr>
          <w:p w14:paraId="0FB4115B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对外经济研究部</w:t>
            </w:r>
          </w:p>
        </w:tc>
        <w:tc>
          <w:tcPr>
            <w:tcW w:w="5103" w:type="dxa"/>
            <w:tcBorders/>
            <w:vAlign w:val="center"/>
          </w:tcPr>
          <w:p w14:paraId="56AE3E7E">
            <w:pPr>
              <w:pStyle w:val="style0"/>
              <w:widowControl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方向：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世界经济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、国际经济、国际贸易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投资</w:t>
            </w:r>
          </w:p>
          <w:p w14:paraId="7DE519C7">
            <w:pPr>
              <w:pStyle w:val="style179"/>
              <w:widowControl/>
              <w:numPr>
                <w:ilvl w:val="0"/>
                <w:numId w:val="7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硕士或博士研究生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；</w:t>
            </w:r>
          </w:p>
          <w:p w14:paraId="3CC6328A">
            <w:pPr>
              <w:pStyle w:val="style179"/>
              <w:widowControl/>
              <w:numPr>
                <w:ilvl w:val="0"/>
                <w:numId w:val="7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经济管理类专业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，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具有一定理工科知识背景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；</w:t>
            </w:r>
          </w:p>
          <w:p w14:paraId="0A0A9419">
            <w:pPr>
              <w:pStyle w:val="style179"/>
              <w:widowControl/>
              <w:numPr>
                <w:ilvl w:val="0"/>
                <w:numId w:val="7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拥有较强信息搜集整理能力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；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协助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开展前沿研究、文献和数据工作，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参与研究报告的讨论与写作。</w:t>
            </w:r>
          </w:p>
        </w:tc>
      </w:tr>
      <w:tr w14:paraId="235B32C3">
        <w:tblPrEx/>
        <w:trPr>
          <w:trHeight w:val="1500" w:hRule="atLeast"/>
        </w:trPr>
        <w:tc>
          <w:tcPr>
            <w:tcW w:w="993" w:type="dxa"/>
            <w:tcBorders/>
            <w:noWrap/>
            <w:vAlign w:val="center"/>
          </w:tcPr>
          <w:p w14:paraId="4C843B01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2551" w:type="dxa"/>
            <w:tcBorders/>
            <w:noWrap/>
            <w:vAlign w:val="center"/>
          </w:tcPr>
          <w:p w14:paraId="07D86850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kern w:val="0"/>
                <w:sz w:val="32"/>
                <w:szCs w:val="32"/>
              </w:rPr>
              <w:t>社会和文化发展研究部</w:t>
            </w:r>
          </w:p>
        </w:tc>
        <w:tc>
          <w:tcPr>
            <w:tcW w:w="5103" w:type="dxa"/>
            <w:tcBorders/>
            <w:vAlign w:val="center"/>
          </w:tcPr>
          <w:p w14:paraId="2902CE5F">
            <w:pPr>
              <w:pStyle w:val="style0"/>
              <w:widowControl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方向：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人口和就业、医疗健康和社会保障、收入分配、教育</w:t>
            </w:r>
          </w:p>
          <w:p w14:paraId="42FE3CEB">
            <w:pPr>
              <w:pStyle w:val="style179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博士研究生；</w:t>
            </w:r>
          </w:p>
          <w:p w14:paraId="238220C8">
            <w:pPr>
              <w:pStyle w:val="style179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劳动经济学、社会保障、人口学、卫生经济学、教育经济学、财政学等专业方向；</w:t>
            </w:r>
          </w:p>
          <w:p w14:paraId="14267B77">
            <w:pPr>
              <w:pStyle w:val="style179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熟练掌握AI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工具及数据分析软件的使用；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协助开展资料收集、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整理等科研辅助工作，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协助部门日常行政工作。</w:t>
            </w:r>
          </w:p>
        </w:tc>
      </w:tr>
      <w:tr w14:paraId="44E1F5FC">
        <w:tblPrEx/>
        <w:trPr>
          <w:trHeight w:val="2496" w:hRule="atLeast"/>
        </w:trPr>
        <w:tc>
          <w:tcPr>
            <w:tcW w:w="993" w:type="dxa"/>
            <w:tcBorders/>
            <w:noWrap/>
            <w:vAlign w:val="center"/>
          </w:tcPr>
          <w:p w14:paraId="7CB734F5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2551" w:type="dxa"/>
            <w:tcBorders/>
            <w:noWrap/>
            <w:vAlign w:val="center"/>
          </w:tcPr>
          <w:p w14:paraId="1B779E35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市场经济研究所</w:t>
            </w:r>
          </w:p>
        </w:tc>
        <w:tc>
          <w:tcPr>
            <w:tcW w:w="5103" w:type="dxa"/>
            <w:tcBorders/>
            <w:vAlign w:val="center"/>
          </w:tcPr>
          <w:p w14:paraId="67C3BE6B">
            <w:pPr>
              <w:pStyle w:val="style0"/>
              <w:widowControl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方向：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消费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、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服务业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、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宏观经济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、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房地产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、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城市更新</w:t>
            </w:r>
          </w:p>
          <w:p w14:paraId="5B34B9DC">
            <w:pPr>
              <w:pStyle w:val="style179"/>
              <w:widowControl/>
              <w:numPr>
                <w:ilvl w:val="0"/>
                <w:numId w:val="10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硕士或博士研究生；</w:t>
            </w:r>
          </w:p>
          <w:p w14:paraId="56FD0CD4">
            <w:pPr>
              <w:pStyle w:val="style179"/>
              <w:widowControl/>
              <w:numPr>
                <w:ilvl w:val="0"/>
                <w:numId w:val="10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参与课题研究工作与定期讨论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；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具备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扎实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的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理论功底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和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数据搜集能力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，能保证相对充足的研究时间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。</w:t>
            </w:r>
          </w:p>
        </w:tc>
      </w:tr>
      <w:tr w14:paraId="65A5612F">
        <w:tblPrEx/>
        <w:trPr>
          <w:trHeight w:val="2496" w:hRule="atLeast"/>
        </w:trPr>
        <w:tc>
          <w:tcPr>
            <w:tcW w:w="993" w:type="dxa"/>
            <w:tcBorders/>
            <w:noWrap/>
            <w:vAlign w:val="center"/>
          </w:tcPr>
          <w:p w14:paraId="50AD08D5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2551" w:type="dxa"/>
            <w:tcBorders/>
            <w:noWrap/>
            <w:vAlign w:val="center"/>
          </w:tcPr>
          <w:p w14:paraId="1938ADAC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企业研究所</w:t>
            </w:r>
          </w:p>
        </w:tc>
        <w:tc>
          <w:tcPr>
            <w:tcW w:w="5103" w:type="dxa"/>
            <w:tcBorders/>
            <w:vAlign w:val="center"/>
          </w:tcPr>
          <w:p w14:paraId="5229C9C7">
            <w:pPr>
              <w:pStyle w:val="style0"/>
              <w:widowControl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方向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：国企改革、民营企业发展、数字经济、平台治理等</w:t>
            </w:r>
          </w:p>
          <w:p w14:paraId="2E6B4E3E">
            <w:pPr>
              <w:pStyle w:val="style179"/>
              <w:widowControl/>
              <w:numPr>
                <w:ilvl w:val="0"/>
                <w:numId w:val="11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硕士或博士研究生；</w:t>
            </w:r>
          </w:p>
          <w:p w14:paraId="3BA37346">
            <w:pPr>
              <w:pStyle w:val="style179"/>
              <w:widowControl/>
              <w:numPr>
                <w:ilvl w:val="0"/>
                <w:numId w:val="11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default"/>
                <w:color w:val="000000"/>
                <w:kern w:val="0"/>
                <w:sz w:val="32"/>
                <w:szCs w:val="32"/>
                <w:lang w:val="en-US"/>
              </w:rPr>
              <w:t>经济学</w:t>
            </w:r>
            <w:r>
              <w:rPr>
                <w:rFonts w:ascii="仿宋" w:cs="Calibri" w:eastAsia="仿宋" w:hAnsi="仿宋" w:hint="default"/>
                <w:color w:val="000000"/>
                <w:kern w:val="0"/>
                <w:sz w:val="32"/>
                <w:szCs w:val="32"/>
                <w:lang w:val="en-US"/>
              </w:rPr>
              <w:t>、</w:t>
            </w:r>
            <w:r>
              <w:rPr>
                <w:rFonts w:ascii="仿宋" w:cs="Calibri" w:eastAsia="仿宋" w:hAnsi="仿宋" w:hint="default"/>
                <w:color w:val="000000"/>
                <w:kern w:val="0"/>
                <w:sz w:val="32"/>
                <w:szCs w:val="32"/>
                <w:lang w:val="en-US"/>
              </w:rPr>
              <w:t>管理</w:t>
            </w:r>
            <w:r>
              <w:rPr>
                <w:rFonts w:ascii="仿宋" w:cs="Calibri" w:eastAsia="仿宋" w:hAnsi="仿宋" w:hint="default"/>
                <w:color w:val="000000"/>
                <w:kern w:val="0"/>
                <w:sz w:val="32"/>
                <w:szCs w:val="32"/>
                <w:lang w:val="en-US"/>
              </w:rPr>
              <w:t>学</w:t>
            </w:r>
            <w:r>
              <w:rPr>
                <w:rFonts w:ascii="仿宋" w:cs="Calibri" w:eastAsia="仿宋" w:hAnsi="仿宋" w:hint="default"/>
                <w:color w:val="000000"/>
                <w:kern w:val="0"/>
                <w:sz w:val="32"/>
                <w:szCs w:val="32"/>
                <w:lang w:val="en-US"/>
              </w:rPr>
              <w:t>等</w:t>
            </w:r>
            <w:r>
              <w:rPr>
                <w:rFonts w:ascii="仿宋" w:cs="Calibri" w:eastAsia="仿宋" w:hAnsi="仿宋" w:hint="default"/>
                <w:color w:val="000000"/>
                <w:kern w:val="0"/>
                <w:sz w:val="32"/>
                <w:szCs w:val="32"/>
                <w:lang w:val="en-US"/>
              </w:rPr>
              <w:t>专业</w:t>
            </w:r>
            <w:r>
              <w:rPr>
                <w:rFonts w:ascii="仿宋" w:cs="Calibri" w:eastAsia="仿宋" w:hAnsi="仿宋" w:hint="default"/>
                <w:color w:val="000000"/>
                <w:kern w:val="0"/>
                <w:sz w:val="32"/>
                <w:szCs w:val="32"/>
                <w:lang w:val="en-US"/>
              </w:rPr>
              <w:t>。</w:t>
            </w:r>
          </w:p>
        </w:tc>
      </w:tr>
      <w:tr w14:paraId="510EE50B">
        <w:tblPrEx/>
        <w:trPr>
          <w:trHeight w:val="6437" w:hRule="atLeast"/>
        </w:trPr>
        <w:tc>
          <w:tcPr>
            <w:tcW w:w="993" w:type="dxa"/>
            <w:tcBorders/>
            <w:noWrap/>
            <w:vAlign w:val="center"/>
          </w:tcPr>
          <w:p w14:paraId="3F68B89D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2551" w:type="dxa"/>
            <w:tcBorders/>
            <w:noWrap/>
            <w:vAlign w:val="center"/>
          </w:tcPr>
          <w:p w14:paraId="2F7F374D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金融研究所</w:t>
            </w:r>
          </w:p>
        </w:tc>
        <w:tc>
          <w:tcPr>
            <w:tcW w:w="5103" w:type="dxa"/>
            <w:tcBorders/>
            <w:vAlign w:val="center"/>
          </w:tcPr>
          <w:p w14:paraId="7FF9C35C">
            <w:pPr>
              <w:pStyle w:val="style0"/>
              <w:widowControl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方向：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宏观金融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、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保险</w:t>
            </w:r>
          </w:p>
          <w:p w14:paraId="78AF18D3">
            <w:pPr>
              <w:pStyle w:val="style179"/>
              <w:widowControl/>
              <w:numPr>
                <w:ilvl w:val="0"/>
                <w:numId w:val="12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硕士或博士研究生；</w:t>
            </w:r>
          </w:p>
          <w:p w14:paraId="5B72D5EE">
            <w:pPr>
              <w:pStyle w:val="style179"/>
              <w:widowControl/>
              <w:numPr>
                <w:ilvl w:val="0"/>
                <w:numId w:val="12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经济学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专业；</w:t>
            </w:r>
          </w:p>
          <w:p w14:paraId="3E795DC3">
            <w:pPr>
              <w:pStyle w:val="style0"/>
              <w:widowControl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3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.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掌握货币政策、政府债务等专业知识，熟练掌握数据分析工具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  <w:lang w:val="en-US"/>
              </w:rPr>
              <w:t>，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具有较好文字表达能力；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具有保险专业背景和相关研究经历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；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熟练掌握英语，具备较好的数据收集和分析能力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。</w:t>
            </w:r>
          </w:p>
        </w:tc>
      </w:tr>
      <w:tr w14:paraId="4897F195">
        <w:tblPrEx/>
        <w:trPr>
          <w:trHeight w:val="310" w:hRule="atLeast"/>
        </w:trPr>
        <w:tc>
          <w:tcPr>
            <w:tcW w:w="993" w:type="dxa"/>
            <w:tcBorders/>
            <w:noWrap/>
            <w:vAlign w:val="center"/>
          </w:tcPr>
          <w:p w14:paraId="29A3C866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2551" w:type="dxa"/>
            <w:tcBorders/>
            <w:noWrap/>
            <w:vAlign w:val="center"/>
          </w:tcPr>
          <w:p w14:paraId="0B4BAF8C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资源与环境政策研究所</w:t>
            </w:r>
          </w:p>
        </w:tc>
        <w:tc>
          <w:tcPr>
            <w:tcW w:w="5103" w:type="dxa"/>
            <w:tcBorders/>
            <w:vAlign w:val="center"/>
          </w:tcPr>
          <w:p w14:paraId="6D833751">
            <w:pPr>
              <w:pStyle w:val="style0"/>
              <w:widowControl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方向：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应对气候变化研究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；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环境经济、生态文明研究</w:t>
            </w:r>
          </w:p>
          <w:p w14:paraId="38F1D73B">
            <w:pPr>
              <w:pStyle w:val="style179"/>
              <w:widowControl/>
              <w:numPr>
                <w:ilvl w:val="0"/>
                <w:numId w:val="27"/>
              </w:numPr>
              <w:ind w:firstLineChars="0"/>
              <w:jc w:val="left"/>
              <w:rPr>
                <w:rFonts w:ascii="仿宋" w:cs="Calibri" w:eastAsia="仿宋" w:hAnsi="仿宋" w:hint="eastAsia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博士研究生；</w:t>
            </w:r>
          </w:p>
          <w:p w14:paraId="434F1B3D">
            <w:pPr>
              <w:pStyle w:val="style179"/>
              <w:widowControl/>
              <w:numPr>
                <w:ilvl w:val="0"/>
                <w:numId w:val="27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气候科学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、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环境科学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、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地理学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、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地质学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、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冰川学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、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水文学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专业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；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经济学、管理学、人口资源与环境、环境科学等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专业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；</w:t>
            </w:r>
          </w:p>
          <w:p w14:paraId="719A5411">
            <w:pPr>
              <w:pStyle w:val="style179"/>
              <w:widowControl/>
              <w:numPr>
                <w:ilvl w:val="0"/>
                <w:numId w:val="27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参与相关课题并产出研究报告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  <w:lang w:val="en-US"/>
              </w:rPr>
              <w:t>。</w:t>
            </w:r>
          </w:p>
        </w:tc>
      </w:tr>
      <w:tr w14:paraId="4376F03B">
        <w:tblPrEx/>
        <w:trPr>
          <w:trHeight w:val="310" w:hRule="atLeast"/>
        </w:trPr>
        <w:tc>
          <w:tcPr>
            <w:tcW w:w="993" w:type="dxa"/>
            <w:tcBorders/>
            <w:noWrap/>
            <w:vAlign w:val="center"/>
          </w:tcPr>
          <w:p w14:paraId="081BC011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2551" w:type="dxa"/>
            <w:tcBorders/>
            <w:noWrap/>
            <w:vAlign w:val="center"/>
          </w:tcPr>
          <w:p w14:paraId="2BA404F9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公共管理与人力资源研究所</w:t>
            </w:r>
          </w:p>
        </w:tc>
        <w:tc>
          <w:tcPr>
            <w:tcW w:w="5103" w:type="dxa"/>
            <w:tcBorders/>
            <w:vAlign w:val="center"/>
          </w:tcPr>
          <w:p w14:paraId="198657FC">
            <w:pPr>
              <w:pStyle w:val="style0"/>
              <w:widowControl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方向：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公共管理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、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人力资源</w:t>
            </w:r>
          </w:p>
          <w:p w14:paraId="5E25852A">
            <w:pPr>
              <w:pStyle w:val="style179"/>
              <w:widowControl/>
              <w:numPr>
                <w:ilvl w:val="0"/>
                <w:numId w:val="30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硕士或博士研究生；</w:t>
            </w: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 xml:space="preserve"> </w:t>
            </w:r>
          </w:p>
          <w:p w14:paraId="4E5F9228">
            <w:pPr>
              <w:pStyle w:val="style179"/>
              <w:widowControl/>
              <w:numPr>
                <w:ilvl w:val="0"/>
                <w:numId w:val="30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相关理论功底扎实，有相关课题研究经验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。</w:t>
            </w:r>
          </w:p>
        </w:tc>
      </w:tr>
      <w:tr w14:paraId="3712FA85">
        <w:tblPrEx/>
        <w:trPr>
          <w:trHeight w:val="310" w:hRule="atLeast"/>
        </w:trPr>
        <w:tc>
          <w:tcPr>
            <w:tcW w:w="993" w:type="dxa"/>
            <w:tcBorders/>
            <w:noWrap/>
            <w:vAlign w:val="center"/>
          </w:tcPr>
          <w:p w14:paraId="44EAF042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13</w:t>
            </w:r>
          </w:p>
        </w:tc>
        <w:tc>
          <w:tcPr>
            <w:tcW w:w="2551" w:type="dxa"/>
            <w:tcBorders/>
            <w:noWrap/>
            <w:vAlign w:val="center"/>
          </w:tcPr>
          <w:p w14:paraId="040FF23E">
            <w:pPr>
              <w:pStyle w:val="style0"/>
              <w:widowControl/>
              <w:jc w:val="center"/>
              <w:rPr>
                <w:rFonts w:ascii="仿宋" w:cs="Calibri" w:eastAsia="仿宋" w:hAnsi="仿宋" w:hint="eastAsia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kern w:val="0"/>
                <w:sz w:val="32"/>
                <w:szCs w:val="32"/>
              </w:rPr>
              <w:t>信息中心</w:t>
            </w:r>
          </w:p>
        </w:tc>
        <w:tc>
          <w:tcPr>
            <w:tcW w:w="5103" w:type="dxa"/>
            <w:tcBorders/>
            <w:vAlign w:val="center"/>
          </w:tcPr>
          <w:p w14:paraId="21F2C802">
            <w:pPr>
              <w:pStyle w:val="style179"/>
              <w:widowControl/>
              <w:numPr>
                <w:ilvl w:val="0"/>
                <w:numId w:val="0"/>
              </w:numPr>
              <w:ind w:firstLine="0"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default"/>
                <w:color w:val="000000"/>
                <w:kern w:val="0"/>
                <w:sz w:val="32"/>
                <w:szCs w:val="32"/>
                <w:lang w:val="en-US"/>
              </w:rPr>
              <w:t>方向</w:t>
            </w:r>
            <w:r>
              <w:rPr>
                <w:rFonts w:ascii="仿宋" w:cs="Calibri" w:eastAsia="仿宋" w:hAnsi="仿宋" w:hint="default"/>
                <w:color w:val="000000"/>
                <w:kern w:val="0"/>
                <w:sz w:val="32"/>
                <w:szCs w:val="32"/>
                <w:lang w:val="en-US"/>
              </w:rPr>
              <w:t>：</w:t>
            </w:r>
            <w:r>
              <w:rPr>
                <w:rFonts w:ascii="仿宋" w:cs="Calibri" w:eastAsia="仿宋" w:hAnsi="仿宋" w:hint="default"/>
                <w:color w:val="000000"/>
                <w:kern w:val="0"/>
                <w:sz w:val="32"/>
                <w:szCs w:val="32"/>
                <w:lang w:val="en-US"/>
              </w:rPr>
              <w:t>信息</w:t>
            </w:r>
            <w:r>
              <w:rPr>
                <w:rFonts w:ascii="仿宋" w:cs="Calibri" w:eastAsia="仿宋" w:hAnsi="仿宋" w:hint="default"/>
                <w:color w:val="000000"/>
                <w:kern w:val="0"/>
                <w:sz w:val="32"/>
                <w:szCs w:val="32"/>
                <w:lang w:val="en-US"/>
              </w:rPr>
              <w:t>分析</w:t>
            </w:r>
            <w:r>
              <w:rPr>
                <w:rFonts w:ascii="仿宋" w:cs="Calibri" w:eastAsia="仿宋" w:hAnsi="仿宋" w:hint="default"/>
                <w:color w:val="000000"/>
                <w:kern w:val="0"/>
                <w:sz w:val="32"/>
                <w:szCs w:val="32"/>
                <w:lang w:val="en-US"/>
              </w:rPr>
              <w:t>研究</w:t>
            </w:r>
          </w:p>
          <w:p w14:paraId="6A9C6C6A">
            <w:pPr>
              <w:pStyle w:val="style179"/>
              <w:widowControl/>
              <w:numPr>
                <w:ilvl w:val="0"/>
                <w:numId w:val="15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硕士或博士研究生；</w:t>
            </w:r>
          </w:p>
          <w:p w14:paraId="37241FB1">
            <w:pPr>
              <w:pStyle w:val="style179"/>
              <w:widowControl/>
              <w:numPr>
                <w:ilvl w:val="0"/>
                <w:numId w:val="15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理论经济学、应用经济学、国际商务、金融、国际关系、社会学等专业</w:t>
            </w:r>
            <w:r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  <w:t>；</w:t>
            </w:r>
          </w:p>
          <w:p w14:paraId="72CCD4F7">
            <w:pPr>
              <w:pStyle w:val="style179"/>
              <w:widowControl/>
              <w:numPr>
                <w:ilvl w:val="0"/>
                <w:numId w:val="15"/>
              </w:numPr>
              <w:ind w:firstLineChars="0"/>
              <w:jc w:val="left"/>
              <w:rPr>
                <w:rFonts w:ascii="仿宋" w:cs="Calibri" w:eastAsia="仿宋" w:hAnsi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cs="Calibri" w:eastAsia="仿宋" w:hAnsi="仿宋"/>
                <w:color w:val="000000"/>
                <w:kern w:val="0"/>
                <w:sz w:val="32"/>
                <w:szCs w:val="32"/>
              </w:rPr>
              <w:t>精通英语；熟练掌握Python、SPSS等数据分析软件者优先。</w:t>
            </w:r>
          </w:p>
        </w:tc>
      </w:tr>
    </w:tbl>
    <w:p w14:paraId="7E1BC9DD">
      <w:pPr>
        <w:pStyle w:val="style0"/>
        <w:rPr>
          <w:rFonts w:ascii="黑体" w:eastAsia="黑体" w:hAnsi="黑体" w:hint="eastAsia"/>
          <w:sz w:val="32"/>
          <w:szCs w:val="32"/>
        </w:rPr>
      </w:pP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000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华文中宋">
    <w:altName w:val="华文中宋"/>
    <w:panose1 w:val="02010600040000010101"/>
    <w:charset w:val="86"/>
    <w:family w:val="auto"/>
    <w:pitch w:val="variable"/>
    <w:sig w:usb0="00000287" w:usb1="080F0000" w:usb2="00000010" w:usb3="00000000" w:csb0="0004009F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  <w:font w:name="楷体">
    <w:altName w:val="楷体"/>
    <w:panose1 w:val="02010609060000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"/>
    <w:panose1 w:val="02010609060000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5E8028E4">
    <w:pPr>
      <w:pStyle w:val="style32"/>
      <w:rPr>
        <w:rFonts w:hint="eastAsia"/>
      </w:rPr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1DFC0EB">
    <w:pPr>
      <w:pStyle w:val="style32"/>
      <w:rPr>
        <w:rFonts w:hint="eastAsia"/>
      </w:rPr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84138FB">
    <w:pPr>
      <w:pStyle w:val="style31"/>
      <w:rPr>
        <w:rFonts w:hint="eastAsia"/>
      </w:rPr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1104815">
    <w:pPr>
      <w:pStyle w:val="style31"/>
      <w:rPr>
        <w:rFonts w:hint="eastAsia"/>
      </w:rPr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5DB292C">
    <w:pPr>
      <w:pStyle w:val="style31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214C19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00000001"/>
    <w:multiLevelType w:val="hybridMultilevel"/>
    <w:tmpl w:val="0AA0DF7E"/>
    <w:lvl w:ilvl="0" w:tplc="D5B4D9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00000002"/>
    <w:multiLevelType w:val="hybridMultilevel"/>
    <w:tmpl w:val="952AFE00"/>
    <w:lvl w:ilvl="0" w:tplc="D5B4D9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00000003"/>
    <w:multiLevelType w:val="multilevel"/>
    <w:tmpl w:val="14D85E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0000004"/>
    <w:multiLevelType w:val="multilevel"/>
    <w:tmpl w:val="1787457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0000005"/>
    <w:multiLevelType w:val="hybridMultilevel"/>
    <w:tmpl w:val="F886C4EA"/>
    <w:lvl w:ilvl="0" w:tplc="D5B4D9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00000006"/>
    <w:multiLevelType w:val="hybridMultilevel"/>
    <w:tmpl w:val="C14E56D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>
    <w:nsid w:val="00000007"/>
    <w:multiLevelType w:val="hybridMultilevel"/>
    <w:tmpl w:val="BEB26DEE"/>
    <w:lvl w:ilvl="0" w:tplc="D5B4D9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>
    <w:nsid w:val="00000008"/>
    <w:multiLevelType w:val="multilevel"/>
    <w:tmpl w:val="218D5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00000009"/>
    <w:multiLevelType w:val="multilevel"/>
    <w:tmpl w:val="243008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0000000A"/>
    <w:multiLevelType w:val="multilevel"/>
    <w:tmpl w:val="25BD06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000000B"/>
    <w:multiLevelType w:val="hybridMultilevel"/>
    <w:tmpl w:val="2D3E0272"/>
    <w:lvl w:ilvl="0" w:tplc="D5B4D9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>
    <w:nsid w:val="0000000C"/>
    <w:multiLevelType w:val="hybridMultilevel"/>
    <w:tmpl w:val="FD401192"/>
    <w:lvl w:ilvl="0" w:tplc="D5B4D9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>
    <w:nsid w:val="0000000D"/>
    <w:multiLevelType w:val="hybridMultilevel"/>
    <w:tmpl w:val="966C3FF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>
    <w:nsid w:val="0000000E"/>
    <w:multiLevelType w:val="multilevel"/>
    <w:tmpl w:val="436404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0000000F"/>
    <w:multiLevelType w:val="multilevel"/>
    <w:tmpl w:val="43CA5BC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00000010"/>
    <w:multiLevelType w:val="multilevel"/>
    <w:tmpl w:val="45B97FB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00000011"/>
    <w:multiLevelType w:val="hybridMultilevel"/>
    <w:tmpl w:val="986007C2"/>
    <w:lvl w:ilvl="0" w:tplc="D5B4D9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>
    <w:nsid w:val="00000012"/>
    <w:multiLevelType w:val="multilevel"/>
    <w:tmpl w:val="4A6A7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00000013"/>
    <w:multiLevelType w:val="multilevel"/>
    <w:tmpl w:val="55CF20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00000014"/>
    <w:multiLevelType w:val="hybridMultilevel"/>
    <w:tmpl w:val="89D648AC"/>
    <w:lvl w:ilvl="0" w:tplc="D5B4D9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>
    <w:nsid w:val="00000015"/>
    <w:multiLevelType w:val="multilevel"/>
    <w:tmpl w:val="5DBB1B8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00000016"/>
    <w:multiLevelType w:val="multilevel"/>
    <w:tmpl w:val="5EC866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00000017"/>
    <w:multiLevelType w:val="hybridMultilevel"/>
    <w:tmpl w:val="C742BE6E"/>
    <w:lvl w:ilvl="0" w:tplc="D5B4D9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4">
    <w:nsid w:val="00000018"/>
    <w:multiLevelType w:val="hybridMultilevel"/>
    <w:tmpl w:val="7A38191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5">
    <w:nsid w:val="00000019"/>
    <w:multiLevelType w:val="hybridMultilevel"/>
    <w:tmpl w:val="901C0372"/>
    <w:lvl w:ilvl="0" w:tplc="D5B4D9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6">
    <w:nsid w:val="0000001A"/>
    <w:multiLevelType w:val="hybridMultilevel"/>
    <w:tmpl w:val="5C0001F4"/>
    <w:lvl w:ilvl="0" w:tplc="D5B4D9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7">
    <w:nsid w:val="0000001B"/>
    <w:multiLevelType w:val="multilevel"/>
    <w:tmpl w:val="6B6722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0000001C"/>
    <w:multiLevelType w:val="hybridMultilevel"/>
    <w:tmpl w:val="A1FA946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9">
    <w:nsid w:val="0000001D"/>
    <w:multiLevelType w:val="multilevel"/>
    <w:tmpl w:val="798073A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8"/>
  </w:num>
  <w:num w:numId="3">
    <w:abstractNumId w:val="14"/>
  </w:num>
  <w:num w:numId="4">
    <w:abstractNumId w:val="19"/>
  </w:num>
  <w:num w:numId="5">
    <w:abstractNumId w:val="29"/>
  </w:num>
  <w:num w:numId="6">
    <w:abstractNumId w:val="3"/>
  </w:num>
  <w:num w:numId="7">
    <w:abstractNumId w:val="22"/>
  </w:num>
  <w:num w:numId="8">
    <w:abstractNumId w:val="4"/>
  </w:num>
  <w:num w:numId="9">
    <w:abstractNumId w:val="15"/>
  </w:num>
  <w:num w:numId="10">
    <w:abstractNumId w:val="21"/>
  </w:num>
  <w:num w:numId="11">
    <w:abstractNumId w:val="16"/>
  </w:num>
  <w:num w:numId="12">
    <w:abstractNumId w:val="10"/>
  </w:num>
  <w:num w:numId="13">
    <w:abstractNumId w:val="8"/>
  </w:num>
  <w:num w:numId="14">
    <w:abstractNumId w:val="27"/>
  </w:num>
  <w:num w:numId="15">
    <w:abstractNumId w:val="9"/>
  </w:num>
  <w:num w:numId="16">
    <w:abstractNumId w:val="7"/>
  </w:num>
  <w:num w:numId="17">
    <w:abstractNumId w:val="20"/>
  </w:num>
  <w:num w:numId="18">
    <w:abstractNumId w:val="5"/>
  </w:num>
  <w:num w:numId="19">
    <w:abstractNumId w:val="11"/>
  </w:num>
  <w:num w:numId="20">
    <w:abstractNumId w:val="26"/>
  </w:num>
  <w:num w:numId="21">
    <w:abstractNumId w:val="23"/>
  </w:num>
  <w:num w:numId="22">
    <w:abstractNumId w:val="2"/>
  </w:num>
  <w:num w:numId="23">
    <w:abstractNumId w:val="12"/>
  </w:num>
  <w:num w:numId="24">
    <w:abstractNumId w:val="1"/>
  </w:num>
  <w:num w:numId="25">
    <w:abstractNumId w:val="17"/>
  </w:num>
  <w:num w:numId="26">
    <w:abstractNumId w:val="25"/>
  </w:num>
  <w:num w:numId="27">
    <w:abstractNumId w:val="13"/>
  </w:num>
  <w:num w:numId="28">
    <w:abstractNumId w:val="24"/>
  </w:num>
  <w:num w:numId="29">
    <w:abstractNumId w:val="28"/>
  </w:num>
  <w:num w:numId="30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>
      <w:kern w:val="2"/>
      <w:sz w:val="21"/>
      <w:szCs w:val="2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8"/>
    <w:uiPriority w:val="99"/>
    <w:pPr/>
    <w:rPr>
      <w:sz w:val="18"/>
      <w:szCs w:val="18"/>
    </w:rPr>
  </w:style>
  <w:style w:type="paragraph" w:styleId="style32">
    <w:name w:val="footer"/>
    <w:basedOn w:val="style0"/>
    <w:next w:val="style32"/>
    <w:link w:val="style4100"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099"/>
    <w:uiPriority w:val="99"/>
    <w:pP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paragraph" w:customStyle="1" w:styleId="style4097">
    <w:name w:val="修订1"/>
    <w:next w:val="style4097"/>
    <w:uiPriority w:val="99"/>
    <w:pPr/>
    <w:rPr>
      <w:kern w:val="2"/>
      <w:sz w:val="21"/>
      <w:szCs w:val="22"/>
    </w:rPr>
  </w:style>
  <w:style w:type="character" w:customStyle="1" w:styleId="style4098">
    <w:name w:val="批注框文本 字符"/>
    <w:basedOn w:val="style65"/>
    <w:next w:val="style4098"/>
    <w:link w:val="style153"/>
    <w:qFormat/>
    <w:uiPriority w:val="99"/>
    <w:rPr>
      <w:sz w:val="18"/>
      <w:szCs w:val="18"/>
    </w:rPr>
  </w:style>
  <w:style w:type="character" w:customStyle="1" w:styleId="style4099">
    <w:name w:val="页眉 字符"/>
    <w:basedOn w:val="style65"/>
    <w:next w:val="style4099"/>
    <w:link w:val="style31"/>
    <w:qFormat/>
    <w:uiPriority w:val="99"/>
    <w:rPr>
      <w:sz w:val="18"/>
      <w:szCs w:val="18"/>
    </w:rPr>
  </w:style>
  <w:style w:type="character" w:customStyle="1" w:styleId="style4100">
    <w:name w:val="页脚 字符"/>
    <w:basedOn w:val="style65"/>
    <w:next w:val="style4100"/>
    <w:link w:val="style32"/>
    <w:uiPriority w:val="99"/>
    <w:rPr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firstLine="420" w:firstLineChars="200"/>
    </w:pPr>
    <w:rPr/>
  </w:style>
  <w:style w:type="character" w:styleId="style39">
    <w:name w:val="annotation reference"/>
    <w:basedOn w:val="style65"/>
    <w:next w:val="style39"/>
    <w:uiPriority w:val="99"/>
    <w:rPr>
      <w:sz w:val="21"/>
      <w:szCs w:val="21"/>
    </w:rPr>
  </w:style>
  <w:style w:type="paragraph" w:styleId="style30">
    <w:name w:val="annotation text"/>
    <w:basedOn w:val="style0"/>
    <w:next w:val="style30"/>
    <w:link w:val="style4101"/>
    <w:uiPriority w:val="99"/>
    <w:pPr>
      <w:jc w:val="left"/>
    </w:pPr>
    <w:rPr/>
  </w:style>
  <w:style w:type="character" w:customStyle="1" w:styleId="style4101">
    <w:name w:val="批注文字 字符"/>
    <w:basedOn w:val="style65"/>
    <w:next w:val="style4101"/>
    <w:link w:val="style30"/>
    <w:uiPriority w:val="99"/>
    <w:rPr>
      <w:kern w:val="2"/>
      <w:sz w:val="21"/>
      <w:szCs w:val="22"/>
    </w:rPr>
  </w:style>
  <w:style w:type="paragraph" w:styleId="style106">
    <w:name w:val="annotation subject"/>
    <w:basedOn w:val="style30"/>
    <w:next w:val="style30"/>
    <w:link w:val="style4102"/>
    <w:uiPriority w:val="99"/>
    <w:pPr/>
    <w:rPr>
      <w:b/>
      <w:bCs/>
    </w:rPr>
  </w:style>
  <w:style w:type="character" w:customStyle="1" w:styleId="style4102">
    <w:name w:val="批注主题 字符"/>
    <w:basedOn w:val="style4101"/>
    <w:next w:val="style4102"/>
    <w:link w:val="style106"/>
    <w:uiPriority w:val="99"/>
    <w:rPr>
      <w:b/>
      <w:bCs/>
      <w:kern w:val="2"/>
      <w:sz w:val="21"/>
      <w:szCs w:val="22"/>
    </w:rPr>
  </w:style>
  <w:style w:type="paragraph" w:styleId="style178">
    <w:name w:val="Revision"/>
    <w:next w:val="style178"/>
    <w:uiPriority w:val="99"/>
    <w:pPr/>
    <w:rPr>
      <w:kern w:val="2"/>
      <w:sz w:val="21"/>
      <w:szCs w:val="22"/>
    </w:rPr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9" Type="http://schemas.openxmlformats.org/officeDocument/2006/relationships/settings" Target="settings.xml"/><Relationship Id="rId5" Type="http://schemas.openxmlformats.org/officeDocument/2006/relationships/footer" Target="footer4.xml"/><Relationship Id="rId6" Type="http://schemas.openxmlformats.org/officeDocument/2006/relationships/header" Target="header5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
</file>

<file path=customXml/item2.xml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
</file>

<file path=customXml/itemProps2.xml>
</file>

<file path=customXml/itemProps3.xml><?xml version="1.0" encoding="utf-8"?>
<ds:datastoreItem xmlns:ds="http://schemas.openxmlformats.org/officeDocument/2006/customXml" ds:itemID="{9db3eef3-e2c5-439a-bdf2-63db058888d6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Words>1255</Words>
  <Pages>6</Pages>
  <Characters>1293</Characters>
  <Application>WPS Office</Application>
  <DocSecurity>0</DocSecurity>
  <Paragraphs>105</Paragraphs>
  <ScaleCrop>false</ScaleCrop>
  <LinksUpToDate>false</LinksUpToDate>
  <CharactersWithSpaces>1296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2026-09-28T02:28:31Z</dcterms:created>
  <dc:creator>Jiajun Lai</dc:creator>
  <lastModifiedBy>ALN-AL10</lastModifiedBy>
  <dcterms:modified xsi:type="dcterms:W3CDTF">2026-09-28T02:36:41Z</dcterms:modified>
  <revision>39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eyJoZGlkIjoiM2NjODc3MjI1YmY0MGFkNWIwYjNlNTllZTEyYTljOWMiLCJ1c2VySWQiOiIzNDczMzI3MjYifQ==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972d71a1e2104af797c01f4dd9171a60_23</vt:lpwstr>
  </property>
</Properties>
</file>